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A07F9" w:rsidRDefault="003A07F9" w:rsidP="003A07F9">
      <w:pPr>
        <w:spacing w:before="720" w:after="120"/>
        <w:jc w:val="both"/>
        <w:rPr>
          <w:rFonts w:ascii="Arial" w:hAnsi="Arial" w:cs="Arial"/>
          <w:b/>
          <w:sz w:val="24"/>
          <w:szCs w:val="22"/>
        </w:rPr>
      </w:pPr>
      <w:r w:rsidRPr="003A07F9">
        <w:rPr>
          <w:rFonts w:ascii="Arial" w:hAnsi="Arial" w:cs="Arial"/>
          <w:b/>
          <w:sz w:val="24"/>
          <w:szCs w:val="22"/>
        </w:rPr>
        <w:t>Tabla 2. Inspecciones periódicas</w:t>
      </w:r>
    </w:p>
    <w:p w:rsidR="008F6EBA" w:rsidRDefault="008F6EBA" w:rsidP="008F6EBA">
      <w:pPr>
        <w:spacing w:before="240" w:after="120"/>
        <w:jc w:val="both"/>
        <w:rPr>
          <w:rFonts w:ascii="Arial" w:hAnsi="Arial" w:cs="Arial"/>
          <w:b/>
          <w:sz w:val="24"/>
          <w:szCs w:val="22"/>
        </w:rPr>
      </w:pPr>
    </w:p>
    <w:tbl>
      <w:tblPr>
        <w:tblW w:w="9286" w:type="dxa"/>
        <w:tblInd w:w="42" w:type="dxa"/>
        <w:tblLayout w:type="fixed"/>
        <w:tblCellMar>
          <w:left w:w="70" w:type="dxa"/>
          <w:right w:w="70" w:type="dxa"/>
        </w:tblCellMar>
        <w:tblLook w:val="0000" w:firstRow="0" w:lastRow="0" w:firstColumn="0" w:lastColumn="0" w:noHBand="0" w:noVBand="0"/>
        <w:tblCaption w:val="Documentación a presentar en inspecciones periódicas "/>
        <w:tblDescription w:val="Cada 5 o 10 años."/>
      </w:tblPr>
      <w:tblGrid>
        <w:gridCol w:w="9286"/>
      </w:tblGrid>
      <w:tr w:rsidR="003A07F9" w:rsidRPr="003A07F9" w:rsidTr="005279D9">
        <w:trPr>
          <w:cantSplit/>
          <w:trHeight w:hRule="exact" w:val="283"/>
          <w:tblHeader/>
        </w:trPr>
        <w:tc>
          <w:tcPr>
            <w:tcW w:w="9286" w:type="dxa"/>
            <w:tcBorders>
              <w:bottom w:val="single" w:sz="8" w:space="0" w:color="auto"/>
            </w:tcBorders>
            <w:shd w:val="clear" w:color="auto" w:fill="auto"/>
          </w:tcPr>
          <w:p w:rsidR="003A07F9" w:rsidRPr="003A07F9" w:rsidRDefault="003A07F9" w:rsidP="003A07F9">
            <w:pPr>
              <w:spacing w:after="120"/>
              <w:ind w:right="74"/>
              <w:jc w:val="center"/>
              <w:rPr>
                <w:rFonts w:ascii="Arial" w:hAnsi="Arial" w:cs="Arial"/>
                <w:b/>
              </w:rPr>
            </w:pPr>
            <w:r w:rsidRPr="003A07F9">
              <w:rPr>
                <w:rFonts w:ascii="Arial" w:hAnsi="Arial" w:cs="Arial"/>
                <w:b/>
              </w:rPr>
              <w:t>TABLA 2</w:t>
            </w:r>
          </w:p>
        </w:tc>
      </w:tr>
      <w:tr w:rsidR="003A07F9" w:rsidRPr="003A07F9" w:rsidTr="00010C59">
        <w:trPr>
          <w:cantSplit/>
          <w:trHeight w:val="2525"/>
        </w:trPr>
        <w:tc>
          <w:tcPr>
            <w:tcW w:w="9286" w:type="dxa"/>
            <w:tcBorders>
              <w:top w:val="single" w:sz="8" w:space="0" w:color="auto"/>
              <w:left w:val="single" w:sz="8" w:space="0" w:color="auto"/>
              <w:bottom w:val="single" w:sz="4" w:space="0" w:color="auto"/>
              <w:right w:val="single" w:sz="8" w:space="0" w:color="auto"/>
            </w:tcBorders>
            <w:shd w:val="clear" w:color="auto" w:fill="auto"/>
          </w:tcPr>
          <w:p w:rsidR="003A07F9" w:rsidRPr="003A07F9" w:rsidRDefault="003A07F9" w:rsidP="003A07F9">
            <w:pPr>
              <w:keepNext/>
              <w:widowControl/>
              <w:numPr>
                <w:ilvl w:val="7"/>
                <w:numId w:val="1"/>
              </w:numPr>
              <w:spacing w:after="60"/>
              <w:ind w:left="397" w:right="113" w:hanging="283"/>
              <w:jc w:val="both"/>
              <w:outlineLvl w:val="7"/>
              <w:rPr>
                <w:rFonts w:ascii="Arial" w:eastAsia="Calibri Light" w:hAnsi="Arial" w:cs="Arial"/>
                <w:color w:val="272727"/>
                <w:sz w:val="21"/>
                <w:szCs w:val="18"/>
                <w:lang w:val="es-ES" w:eastAsia="en-US"/>
              </w:rPr>
            </w:pPr>
          </w:p>
          <w:p w:rsidR="003A07F9" w:rsidRPr="003A07F9" w:rsidRDefault="003A07F9" w:rsidP="003A07F9">
            <w:pPr>
              <w:keepNext/>
              <w:widowControl/>
              <w:numPr>
                <w:ilvl w:val="7"/>
                <w:numId w:val="1"/>
              </w:numPr>
              <w:spacing w:after="60"/>
              <w:ind w:left="397" w:right="113" w:hanging="283"/>
              <w:jc w:val="both"/>
              <w:outlineLvl w:val="7"/>
              <w:rPr>
                <w:rFonts w:ascii="Arial" w:eastAsia="Calibri Light" w:hAnsi="Arial" w:cs="Arial"/>
                <w:b/>
                <w:color w:val="272727"/>
                <w:szCs w:val="18"/>
                <w:lang w:val="es-ES" w:eastAsia="en-US"/>
              </w:rPr>
            </w:pPr>
            <w:r w:rsidRPr="003A07F9">
              <w:rPr>
                <w:rFonts w:ascii="Arial" w:eastAsia="Calibri Light" w:hAnsi="Arial" w:cs="Arial"/>
                <w:b/>
                <w:color w:val="272727"/>
                <w:szCs w:val="18"/>
                <w:lang w:val="es-ES" w:eastAsia="en-US"/>
              </w:rPr>
              <w:t xml:space="preserve">A) CADA 10 AÑOS: LAS INSTALACIONES UBICADAS EN ZONAS, EDIFICIOS O ESTABLECIMIENTOS DE USO NO INDUSTRIAL (de aplicación el CTE) (1) </w:t>
            </w:r>
          </w:p>
          <w:p w:rsidR="003A07F9" w:rsidRPr="003A07F9" w:rsidRDefault="003A07F9" w:rsidP="003A07F9">
            <w:pPr>
              <w:keepNext/>
              <w:widowControl/>
              <w:numPr>
                <w:ilvl w:val="7"/>
                <w:numId w:val="1"/>
              </w:numPr>
              <w:spacing w:after="60"/>
              <w:ind w:left="397" w:right="113" w:hanging="283"/>
              <w:jc w:val="both"/>
              <w:outlineLvl w:val="7"/>
              <w:rPr>
                <w:rFonts w:ascii="Arial" w:eastAsia="Calibri Light" w:hAnsi="Arial" w:cs="Arial"/>
                <w:color w:val="272727"/>
                <w:sz w:val="10"/>
                <w:szCs w:val="18"/>
                <w:lang w:val="es-ES" w:eastAsia="en-US"/>
              </w:rPr>
            </w:pPr>
            <w:r w:rsidRPr="003A07F9">
              <w:rPr>
                <w:rFonts w:ascii="Arial" w:eastAsia="Calibri Light" w:hAnsi="Arial" w:cs="Arial"/>
                <w:color w:val="272727"/>
                <w:sz w:val="21"/>
                <w:szCs w:val="18"/>
                <w:lang w:val="es-ES" w:eastAsia="en-US"/>
              </w:rPr>
              <w:tab/>
            </w:r>
          </w:p>
          <w:p w:rsidR="003A07F9" w:rsidRPr="003A07F9" w:rsidRDefault="003A07F9" w:rsidP="003A07F9">
            <w:pPr>
              <w:keepNext/>
              <w:widowControl/>
              <w:numPr>
                <w:ilvl w:val="7"/>
                <w:numId w:val="1"/>
              </w:numPr>
              <w:spacing w:after="60"/>
              <w:ind w:left="685" w:right="113" w:hanging="283"/>
              <w:jc w:val="both"/>
              <w:outlineLvl w:val="7"/>
              <w:rPr>
                <w:rFonts w:ascii="Arial" w:eastAsia="Calibri Light" w:hAnsi="Arial" w:cs="Arial"/>
                <w:color w:val="272727"/>
                <w:sz w:val="21"/>
                <w:szCs w:val="18"/>
                <w:lang w:val="es-ES" w:eastAsia="en-US"/>
              </w:rPr>
            </w:pPr>
            <w:r w:rsidRPr="003A07F9">
              <w:rPr>
                <w:rFonts w:ascii="Arial" w:eastAsia="Calibri Light" w:hAnsi="Arial" w:cs="Arial"/>
                <w:color w:val="272727"/>
                <w:sz w:val="21"/>
                <w:szCs w:val="18"/>
                <w:lang w:val="es-ES" w:eastAsia="en-US"/>
              </w:rPr>
              <w:t>En función del uso y/o superficie construida:</w:t>
            </w:r>
          </w:p>
          <w:p w:rsidR="003A07F9" w:rsidRPr="003A07F9" w:rsidRDefault="003A07F9" w:rsidP="003A07F9">
            <w:pPr>
              <w:widowControl/>
              <w:spacing w:after="60"/>
              <w:ind w:right="170" w:firstLine="624"/>
              <w:jc w:val="both"/>
              <w:rPr>
                <w:rFonts w:ascii="Arial" w:eastAsia="Calibri" w:hAnsi="Arial" w:cs="Arial"/>
                <w:sz w:val="18"/>
                <w:szCs w:val="18"/>
                <w:lang w:val="es-ES" w:eastAsia="en-US"/>
              </w:rPr>
            </w:pPr>
            <w:r w:rsidRPr="003A07F9">
              <w:rPr>
                <w:rFonts w:ascii="Arial" w:eastAsia="Calibri" w:hAnsi="Arial" w:cs="Arial"/>
                <w:sz w:val="18"/>
                <w:szCs w:val="18"/>
                <w:lang w:val="es-ES" w:eastAsia="en-US"/>
              </w:rPr>
              <w:t>Hospitalario y residencial público, independientemente de la superficie construida.</w:t>
            </w:r>
          </w:p>
          <w:p w:rsidR="003A07F9" w:rsidRPr="003A07F9" w:rsidRDefault="003A07F9" w:rsidP="003A07F9">
            <w:pPr>
              <w:widowControl/>
              <w:spacing w:after="60"/>
              <w:ind w:right="170" w:firstLine="624"/>
              <w:jc w:val="both"/>
              <w:rPr>
                <w:rFonts w:ascii="Arial" w:eastAsia="Calibri" w:hAnsi="Arial" w:cs="Arial"/>
                <w:sz w:val="18"/>
                <w:szCs w:val="18"/>
                <w:lang w:val="es-ES" w:eastAsia="en-US"/>
              </w:rPr>
            </w:pPr>
            <w:r w:rsidRPr="003A07F9">
              <w:rPr>
                <w:rFonts w:ascii="Arial" w:eastAsia="Calibri" w:hAnsi="Arial" w:cs="Arial"/>
                <w:sz w:val="18"/>
                <w:szCs w:val="18"/>
                <w:lang w:val="es-ES" w:eastAsia="en-US"/>
              </w:rPr>
              <w:t>Administrativo o docente con superficie construida ≥ 2000 m</w:t>
            </w:r>
            <w:r w:rsidRPr="003A07F9">
              <w:rPr>
                <w:rFonts w:ascii="Arial" w:eastAsia="Calibri" w:hAnsi="Arial" w:cs="Arial"/>
                <w:sz w:val="18"/>
                <w:szCs w:val="18"/>
                <w:vertAlign w:val="superscript"/>
                <w:lang w:val="es-ES" w:eastAsia="en-US"/>
              </w:rPr>
              <w:t>²</w:t>
            </w:r>
          </w:p>
          <w:p w:rsidR="003A07F9" w:rsidRPr="003A07F9" w:rsidRDefault="003A07F9" w:rsidP="003A07F9">
            <w:pPr>
              <w:widowControl/>
              <w:spacing w:after="60"/>
              <w:ind w:right="170" w:firstLine="624"/>
              <w:jc w:val="both"/>
              <w:rPr>
                <w:rFonts w:ascii="Arial" w:eastAsia="Calibri" w:hAnsi="Arial" w:cs="Arial"/>
                <w:sz w:val="18"/>
                <w:szCs w:val="18"/>
                <w:lang w:val="es-ES" w:eastAsia="en-US"/>
              </w:rPr>
            </w:pPr>
            <w:r w:rsidRPr="003A07F9">
              <w:rPr>
                <w:rFonts w:ascii="Arial" w:eastAsia="Calibri" w:hAnsi="Arial" w:cs="Arial"/>
                <w:sz w:val="18"/>
                <w:szCs w:val="18"/>
                <w:lang w:val="es-ES" w:eastAsia="en-US"/>
              </w:rPr>
              <w:t>Comercial, pública concurrencia o aparcamiento con superficie construida ≥ 500 m²</w:t>
            </w:r>
          </w:p>
          <w:p w:rsidR="003A07F9" w:rsidRPr="003A07F9" w:rsidRDefault="003A07F9" w:rsidP="003A07F9">
            <w:pPr>
              <w:widowControl/>
              <w:spacing w:after="60"/>
              <w:ind w:right="170" w:firstLine="624"/>
              <w:rPr>
                <w:rFonts w:ascii="Arial" w:eastAsia="Calibri" w:hAnsi="Arial" w:cs="Arial"/>
                <w:sz w:val="8"/>
                <w:lang w:val="es-ES" w:eastAsia="en-US"/>
              </w:rPr>
            </w:pPr>
            <w:r w:rsidRPr="003A07F9">
              <w:rPr>
                <w:rFonts w:ascii="Arial" w:eastAsia="Calibri" w:hAnsi="Arial" w:cs="Arial"/>
                <w:sz w:val="18"/>
                <w:szCs w:val="18"/>
                <w:lang w:val="es-ES" w:eastAsia="en-US"/>
              </w:rPr>
              <w:t>Cualquier uso y superficie con zona/local de riesgo especial alto o zonas de uso almacén</w:t>
            </w:r>
          </w:p>
        </w:tc>
      </w:tr>
      <w:tr w:rsidR="003A07F9" w:rsidRPr="003A07F9" w:rsidTr="005279D9">
        <w:trPr>
          <w:cantSplit/>
          <w:trHeight w:hRule="exact" w:val="907"/>
        </w:trPr>
        <w:tc>
          <w:tcPr>
            <w:tcW w:w="9286" w:type="dxa"/>
            <w:tcBorders>
              <w:top w:val="single" w:sz="4" w:space="0" w:color="auto"/>
              <w:left w:val="single" w:sz="8" w:space="0" w:color="auto"/>
              <w:bottom w:val="single" w:sz="8" w:space="0" w:color="auto"/>
              <w:right w:val="single" w:sz="8" w:space="0" w:color="auto"/>
            </w:tcBorders>
            <w:shd w:val="clear" w:color="auto" w:fill="auto"/>
            <w:vAlign w:val="center"/>
          </w:tcPr>
          <w:p w:rsidR="003A07F9" w:rsidRPr="003A07F9" w:rsidRDefault="003A07F9" w:rsidP="003A07F9">
            <w:pPr>
              <w:keepNext/>
              <w:widowControl/>
              <w:numPr>
                <w:ilvl w:val="7"/>
                <w:numId w:val="1"/>
              </w:numPr>
              <w:spacing w:after="60"/>
              <w:ind w:left="397" w:right="113" w:hanging="283"/>
              <w:jc w:val="both"/>
              <w:outlineLvl w:val="7"/>
              <w:rPr>
                <w:rFonts w:ascii="Arial" w:eastAsia="Calibri Light" w:hAnsi="Arial" w:cs="Arial"/>
                <w:b/>
                <w:color w:val="272727"/>
                <w:sz w:val="21"/>
                <w:szCs w:val="21"/>
                <w:lang w:val="es-ES" w:eastAsia="en-US"/>
              </w:rPr>
            </w:pPr>
            <w:r w:rsidRPr="003A07F9">
              <w:rPr>
                <w:rFonts w:ascii="Arial" w:eastAsia="Calibri Light" w:hAnsi="Arial" w:cs="Arial"/>
                <w:b/>
                <w:color w:val="272727"/>
                <w:szCs w:val="18"/>
                <w:lang w:val="es-ES" w:eastAsia="en-US"/>
              </w:rPr>
              <w:t>B) CADA 5 AÑOS: LAS INSTALACIONES UBICADAS EN LOS EDIFICIOS O ESTABLECIMIENTOS DE USO INDUSTRIAL (de aplicación el RSCIEI de 2004, el RSCIEI de 2025 o el RIPCI si es anterior al RSCIEI de 2004) (1) (2) (3) (4)</w:t>
            </w:r>
          </w:p>
        </w:tc>
      </w:tr>
    </w:tbl>
    <w:p w:rsidR="003A07F9" w:rsidRPr="003A07F9" w:rsidRDefault="003A07F9" w:rsidP="003A07F9">
      <w:pPr>
        <w:spacing w:before="360" w:after="120"/>
        <w:jc w:val="both"/>
        <w:rPr>
          <w:rFonts w:ascii="Arial" w:hAnsi="Arial" w:cs="Arial"/>
          <w:b/>
        </w:rPr>
      </w:pPr>
      <w:r w:rsidRPr="003A07F9">
        <w:rPr>
          <w:rFonts w:ascii="Arial" w:hAnsi="Arial" w:cs="Arial"/>
          <w:b/>
        </w:rPr>
        <w:t>NOTAS RELATIVAS A LA TABLA 2</w:t>
      </w:r>
    </w:p>
    <w:p w:rsidR="003A07F9" w:rsidRPr="003A07F9" w:rsidRDefault="003A07F9" w:rsidP="003A07F9">
      <w:pPr>
        <w:widowControl/>
        <w:numPr>
          <w:ilvl w:val="0"/>
          <w:numId w:val="5"/>
        </w:numPr>
        <w:suppressAutoHyphens w:val="0"/>
        <w:spacing w:after="60"/>
        <w:ind w:left="414" w:hanging="357"/>
        <w:jc w:val="both"/>
        <w:rPr>
          <w:rFonts w:ascii="Arial" w:eastAsia="Calibri" w:hAnsi="Arial" w:cs="Arial"/>
          <w:sz w:val="18"/>
          <w:szCs w:val="18"/>
          <w:lang w:val="es-ES" w:eastAsia="en-US"/>
        </w:rPr>
      </w:pPr>
      <w:r w:rsidRPr="003A07F9">
        <w:rPr>
          <w:rFonts w:ascii="Arial" w:eastAsia="Calibri" w:hAnsi="Arial" w:cs="Arial"/>
          <w:sz w:val="18"/>
          <w:szCs w:val="18"/>
          <w:lang w:val="es-ES" w:eastAsia="en-US"/>
        </w:rPr>
        <w:t>Primera inspección periódica: El periodo para la realización de la primera inspección periódica contará o a partir de la fecha de la puesta en servicio de la instalación o modificación cuyo reglamento de aplicación le requiera inspección periódica (fecha de traslado al Registro Único de Instalaciones, RUI Aragón)</w:t>
      </w:r>
    </w:p>
    <w:p w:rsidR="003A07F9" w:rsidRPr="003A07F9" w:rsidRDefault="003A07F9" w:rsidP="003A07F9">
      <w:pPr>
        <w:widowControl/>
        <w:numPr>
          <w:ilvl w:val="0"/>
          <w:numId w:val="5"/>
        </w:numPr>
        <w:suppressAutoHyphens w:val="0"/>
        <w:spacing w:after="60"/>
        <w:ind w:left="414" w:hanging="357"/>
        <w:jc w:val="both"/>
        <w:rPr>
          <w:rFonts w:ascii="Arial" w:eastAsia="Calibri" w:hAnsi="Arial" w:cs="Arial"/>
          <w:sz w:val="18"/>
          <w:lang w:val="es-ES" w:eastAsia="en-US"/>
        </w:rPr>
      </w:pPr>
      <w:r w:rsidRPr="003A07F9">
        <w:rPr>
          <w:rFonts w:ascii="Arial" w:eastAsia="Calibri" w:hAnsi="Arial" w:cs="Arial"/>
          <w:sz w:val="18"/>
          <w:lang w:val="es-ES" w:eastAsia="en-US"/>
        </w:rPr>
        <w:t>Los establecimientos industriales existentes cuya última inspección periódica, conforme al anterior RSCIEI aprobado por el Real Decreto 2267/2004, de 3 de diciembre, esté todavía vigente en el momento de la entrada en vigor del nuevo RSCIEI de 2025 (10 de noviembre de 2025), deberán realizar la siguiente inspección periódica en el plazo máximo marcado por la correspondiente acta de la última inspección, momento a partir del cual, se aplicará la nueva periodicidad de 5 años.</w:t>
      </w:r>
    </w:p>
    <w:p w:rsidR="003A07F9" w:rsidRPr="003A07F9" w:rsidRDefault="003A07F9" w:rsidP="003A07F9">
      <w:pPr>
        <w:widowControl/>
        <w:suppressAutoHyphens w:val="0"/>
        <w:spacing w:after="60"/>
        <w:ind w:left="414"/>
        <w:jc w:val="both"/>
        <w:rPr>
          <w:rFonts w:ascii="Arial" w:eastAsia="Calibri" w:hAnsi="Arial" w:cs="Arial"/>
          <w:sz w:val="18"/>
          <w:lang w:val="es-ES" w:eastAsia="en-US"/>
        </w:rPr>
      </w:pPr>
      <w:r w:rsidRPr="003A07F9">
        <w:rPr>
          <w:rFonts w:ascii="Arial" w:eastAsia="Calibri" w:hAnsi="Arial" w:cs="Arial"/>
          <w:sz w:val="18"/>
          <w:lang w:val="es-ES" w:eastAsia="en-US"/>
        </w:rPr>
        <w:t>Para los establecimientos industriales que fueron construidos con anterioridad al Real Decreto 2267/2004 y al que les aplica el RIPCI (RD 513/2017), deben adaptarse a las nuevas periodicidades de cinco años a partir del 10 de noviembre de 2025. Por ejemplo, si su última inspección según RD 513/2017 fue en 2017, deberán realizar la siguiente, antes del 10 de noviembre de 2025. O si es en octubre de 2025, la siguiente inspección será en octubre de 2030.</w:t>
      </w:r>
    </w:p>
    <w:p w:rsidR="003A07F9" w:rsidRPr="003A07F9" w:rsidRDefault="003A07F9" w:rsidP="003A07F9">
      <w:pPr>
        <w:widowControl/>
        <w:numPr>
          <w:ilvl w:val="0"/>
          <w:numId w:val="5"/>
        </w:numPr>
        <w:suppressAutoHyphens w:val="0"/>
        <w:spacing w:after="60"/>
        <w:ind w:left="414" w:hanging="357"/>
        <w:jc w:val="both"/>
        <w:rPr>
          <w:rFonts w:ascii="Arial" w:eastAsia="Calibri" w:hAnsi="Arial" w:cs="Arial"/>
          <w:sz w:val="18"/>
          <w:lang w:val="es-ES" w:eastAsia="en-US"/>
        </w:rPr>
      </w:pPr>
      <w:r w:rsidRPr="003A07F9">
        <w:rPr>
          <w:rFonts w:ascii="Arial" w:eastAsia="Calibri" w:hAnsi="Arial" w:cs="Arial"/>
          <w:sz w:val="18"/>
          <w:lang w:val="es-ES" w:eastAsia="en-US"/>
        </w:rPr>
        <w:t>Se exceptúan de las inspecciones periódicas los establecimientos industriales cuya densidad de carga de fuego ponderada y corregida (Qs) ≤ 42 Mj/m², siempre que su superficie construida sea ≤ 120 m² y estén ubicados en recinto propio.</w:t>
      </w:r>
    </w:p>
    <w:p w:rsidR="003A07F9" w:rsidRPr="003A07F9" w:rsidRDefault="003A07F9" w:rsidP="003A07F9">
      <w:pPr>
        <w:widowControl/>
        <w:numPr>
          <w:ilvl w:val="0"/>
          <w:numId w:val="5"/>
        </w:numPr>
        <w:suppressAutoHyphens w:val="0"/>
        <w:spacing w:after="60"/>
        <w:ind w:left="414" w:right="7" w:hanging="357"/>
        <w:jc w:val="both"/>
        <w:rPr>
          <w:rFonts w:ascii="Arial" w:eastAsia="Calibri" w:hAnsi="Arial" w:cs="Arial"/>
          <w:color w:val="000000"/>
          <w:szCs w:val="22"/>
          <w:lang w:val="es-ES" w:eastAsia="en-US"/>
        </w:rPr>
      </w:pPr>
      <w:r w:rsidRPr="003A07F9">
        <w:rPr>
          <w:rFonts w:ascii="Arial" w:eastAsia="Calibri" w:hAnsi="Arial" w:cs="Arial"/>
          <w:sz w:val="18"/>
          <w:lang w:val="es-ES" w:eastAsia="en-US"/>
        </w:rPr>
        <w:t>Según se establece en el artículo sobre compatibilidad reglamentaria del RSCIEI, cuando en un establecimiento industrial coexistan con la actividad industrial otras actividades de uso no industrial a los que les afecte el CTE DB-SI, realizarán una única inspección periódica completa al establecimiento industrial, considerando la zona de uso no industrial como un sector de incendio independiente y cuyos requisitos están fijados en el CTE DB-SI.</w:t>
      </w:r>
    </w:p>
    <w:p w:rsidR="00CB71D6" w:rsidRPr="003A07F9" w:rsidRDefault="00CB71D6" w:rsidP="003A07F9">
      <w:bookmarkStart w:id="0" w:name="_GoBack"/>
      <w:bookmarkEnd w:id="0"/>
    </w:p>
    <w:sectPr w:rsidR="00CB71D6" w:rsidRPr="003A07F9" w:rsidSect="003A07F9">
      <w:pgSz w:w="11906" w:h="16838"/>
      <w:pgMar w:top="851" w:right="1134" w:bottom="27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BC9" w:rsidRDefault="00D97BC9" w:rsidP="00080DFA">
      <w:r>
        <w:separator/>
      </w:r>
    </w:p>
  </w:endnote>
  <w:endnote w:type="continuationSeparator" w:id="0">
    <w:p w:rsidR="00D97BC9" w:rsidRDefault="00D97BC9" w:rsidP="0008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BC9" w:rsidRDefault="00D97BC9" w:rsidP="00080DFA">
      <w:r>
        <w:separator/>
      </w:r>
    </w:p>
  </w:footnote>
  <w:footnote w:type="continuationSeparator" w:id="0">
    <w:p w:rsidR="00D97BC9" w:rsidRDefault="00D97BC9" w:rsidP="00080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77CC6C84"/>
    <w:name w:val="WW8Num2"/>
    <w:lvl w:ilvl="0">
      <w:start w:val="1"/>
      <w:numFmt w:val="decimal"/>
      <w:lvlText w:val="(%1)"/>
      <w:lvlJc w:val="left"/>
      <w:pPr>
        <w:tabs>
          <w:tab w:val="num" w:pos="360"/>
        </w:tabs>
        <w:ind w:left="360" w:hanging="360"/>
      </w:pPr>
      <w:rPr>
        <w:rFonts w:ascii="Arial" w:hAnsi="Arial" w:cs="Arial" w:hint="default"/>
        <w:b/>
        <w:i w:val="0"/>
        <w:sz w:val="16"/>
      </w:rPr>
    </w:lvl>
  </w:abstractNum>
  <w:abstractNum w:abstractNumId="2" w15:restartNumberingAfterBreak="0">
    <w:nsid w:val="00000003"/>
    <w:multiLevelType w:val="singleLevel"/>
    <w:tmpl w:val="00000003"/>
    <w:name w:val="WW8Num3"/>
    <w:lvl w:ilvl="0">
      <w:numFmt w:val="bullet"/>
      <w:lvlText w:val="-"/>
      <w:lvlJc w:val="left"/>
      <w:pPr>
        <w:tabs>
          <w:tab w:val="num" w:pos="0"/>
        </w:tabs>
        <w:ind w:left="546" w:hanging="360"/>
      </w:pPr>
      <w:rPr>
        <w:rFonts w:ascii="Arial" w:hAnsi="Arial" w:cs="Arial" w:hint="default"/>
      </w:rPr>
    </w:lvl>
  </w:abstractNum>
  <w:abstractNum w:abstractNumId="3" w15:restartNumberingAfterBreak="0">
    <w:nsid w:val="60BA7A83"/>
    <w:multiLevelType w:val="singleLevel"/>
    <w:tmpl w:val="74E295D6"/>
    <w:lvl w:ilvl="0">
      <w:start w:val="1"/>
      <w:numFmt w:val="decimal"/>
      <w:lvlText w:val="(%1)"/>
      <w:lvlJc w:val="left"/>
      <w:pPr>
        <w:tabs>
          <w:tab w:val="num" w:pos="502"/>
        </w:tabs>
        <w:ind w:left="502" w:hanging="360"/>
      </w:pPr>
      <w:rPr>
        <w:rFonts w:ascii="Arial" w:hAnsi="Arial" w:cs="Arial" w:hint="default"/>
        <w:b/>
        <w:i w:val="0"/>
        <w:sz w:val="16"/>
      </w:rPr>
    </w:lvl>
  </w:abstractNum>
  <w:abstractNum w:abstractNumId="4" w15:restartNumberingAfterBreak="0">
    <w:nsid w:val="61430C7C"/>
    <w:multiLevelType w:val="hybridMultilevel"/>
    <w:tmpl w:val="8D905AA2"/>
    <w:lvl w:ilvl="0" w:tplc="90B02B46">
      <w:start w:val="1"/>
      <w:numFmt w:val="decimal"/>
      <w:lvlText w:val="(%1)"/>
      <w:lvlJc w:val="left"/>
      <w:pPr>
        <w:ind w:left="416" w:hanging="360"/>
      </w:pPr>
      <w:rPr>
        <w:rFonts w:hint="default"/>
        <w:b/>
        <w:sz w:val="16"/>
      </w:rPr>
    </w:lvl>
    <w:lvl w:ilvl="1" w:tplc="0C0A0019" w:tentative="1">
      <w:start w:val="1"/>
      <w:numFmt w:val="lowerLetter"/>
      <w:lvlText w:val="%2."/>
      <w:lvlJc w:val="left"/>
      <w:pPr>
        <w:ind w:left="1136" w:hanging="360"/>
      </w:pPr>
    </w:lvl>
    <w:lvl w:ilvl="2" w:tplc="0C0A001B" w:tentative="1">
      <w:start w:val="1"/>
      <w:numFmt w:val="lowerRoman"/>
      <w:lvlText w:val="%3."/>
      <w:lvlJc w:val="right"/>
      <w:pPr>
        <w:ind w:left="1856" w:hanging="180"/>
      </w:pPr>
    </w:lvl>
    <w:lvl w:ilvl="3" w:tplc="0C0A000F" w:tentative="1">
      <w:start w:val="1"/>
      <w:numFmt w:val="decimal"/>
      <w:lvlText w:val="%4."/>
      <w:lvlJc w:val="left"/>
      <w:pPr>
        <w:ind w:left="2576" w:hanging="360"/>
      </w:pPr>
    </w:lvl>
    <w:lvl w:ilvl="4" w:tplc="0C0A0019" w:tentative="1">
      <w:start w:val="1"/>
      <w:numFmt w:val="lowerLetter"/>
      <w:lvlText w:val="%5."/>
      <w:lvlJc w:val="left"/>
      <w:pPr>
        <w:ind w:left="3296" w:hanging="360"/>
      </w:pPr>
    </w:lvl>
    <w:lvl w:ilvl="5" w:tplc="0C0A001B" w:tentative="1">
      <w:start w:val="1"/>
      <w:numFmt w:val="lowerRoman"/>
      <w:lvlText w:val="%6."/>
      <w:lvlJc w:val="right"/>
      <w:pPr>
        <w:ind w:left="4016" w:hanging="180"/>
      </w:pPr>
    </w:lvl>
    <w:lvl w:ilvl="6" w:tplc="0C0A000F" w:tentative="1">
      <w:start w:val="1"/>
      <w:numFmt w:val="decimal"/>
      <w:lvlText w:val="%7."/>
      <w:lvlJc w:val="left"/>
      <w:pPr>
        <w:ind w:left="4736" w:hanging="360"/>
      </w:pPr>
    </w:lvl>
    <w:lvl w:ilvl="7" w:tplc="0C0A0019" w:tentative="1">
      <w:start w:val="1"/>
      <w:numFmt w:val="lowerLetter"/>
      <w:lvlText w:val="%8."/>
      <w:lvlJc w:val="left"/>
      <w:pPr>
        <w:ind w:left="5456" w:hanging="360"/>
      </w:pPr>
    </w:lvl>
    <w:lvl w:ilvl="8" w:tplc="0C0A001B" w:tentative="1">
      <w:start w:val="1"/>
      <w:numFmt w:val="lowerRoman"/>
      <w:lvlText w:val="%9."/>
      <w:lvlJc w:val="right"/>
      <w:pPr>
        <w:ind w:left="6176"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7D"/>
    <w:rsid w:val="00010C59"/>
    <w:rsid w:val="00012714"/>
    <w:rsid w:val="0002718B"/>
    <w:rsid w:val="00080DFA"/>
    <w:rsid w:val="000E3CB4"/>
    <w:rsid w:val="0014061C"/>
    <w:rsid w:val="001613FD"/>
    <w:rsid w:val="001945BD"/>
    <w:rsid w:val="001C2D84"/>
    <w:rsid w:val="00221029"/>
    <w:rsid w:val="00242797"/>
    <w:rsid w:val="0034431F"/>
    <w:rsid w:val="00375758"/>
    <w:rsid w:val="003761D5"/>
    <w:rsid w:val="003A07F9"/>
    <w:rsid w:val="003B746C"/>
    <w:rsid w:val="005333B7"/>
    <w:rsid w:val="00755946"/>
    <w:rsid w:val="00765249"/>
    <w:rsid w:val="008C149B"/>
    <w:rsid w:val="008F6EBA"/>
    <w:rsid w:val="009140A3"/>
    <w:rsid w:val="009F49C9"/>
    <w:rsid w:val="00B62F62"/>
    <w:rsid w:val="00C42A50"/>
    <w:rsid w:val="00C6158B"/>
    <w:rsid w:val="00C80329"/>
    <w:rsid w:val="00C85FDD"/>
    <w:rsid w:val="00CB71D6"/>
    <w:rsid w:val="00D97BC9"/>
    <w:rsid w:val="00DC7DDC"/>
    <w:rsid w:val="00DD5ED8"/>
    <w:rsid w:val="00E0357D"/>
    <w:rsid w:val="00F52174"/>
    <w:rsid w:val="00F57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379CEB"/>
  <w15:chartTrackingRefBased/>
  <w15:docId w15:val="{F681D367-B77E-4C78-8396-3CEA283C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1D6"/>
    <w:pPr>
      <w:widowControl w:val="0"/>
      <w:suppressAutoHyphens/>
    </w:pPr>
    <w:rPr>
      <w:lang w:val="es-ES_tradnl" w:eastAsia="zh-CN"/>
    </w:rPr>
  </w:style>
  <w:style w:type="paragraph" w:styleId="Ttulo1">
    <w:name w:val="heading 1"/>
    <w:basedOn w:val="Normal"/>
    <w:next w:val="Normal"/>
    <w:qFormat/>
    <w:pPr>
      <w:keepNext/>
      <w:numPr>
        <w:numId w:val="1"/>
      </w:numPr>
      <w:pBdr>
        <w:top w:val="single" w:sz="6" w:space="1" w:color="000000"/>
        <w:left w:val="single" w:sz="6" w:space="1" w:color="000000"/>
        <w:bottom w:val="single" w:sz="6" w:space="1" w:color="000000"/>
        <w:right w:val="single" w:sz="6" w:space="1" w:color="000000"/>
      </w:pBdr>
      <w:jc w:val="center"/>
      <w:outlineLvl w:val="0"/>
    </w:pPr>
    <w:rPr>
      <w:rFonts w:ascii="Arial" w:hAnsi="Arial" w:cs="Arial"/>
      <w:b/>
      <w:sz w:val="24"/>
    </w:rPr>
  </w:style>
  <w:style w:type="paragraph" w:styleId="Ttulo2">
    <w:name w:val="heading 2"/>
    <w:basedOn w:val="Normal"/>
    <w:next w:val="Normal"/>
    <w:qFormat/>
    <w:pPr>
      <w:keepNext/>
      <w:numPr>
        <w:ilvl w:val="1"/>
        <w:numId w:val="1"/>
      </w:numPr>
      <w:outlineLvl w:val="1"/>
    </w:pPr>
    <w:rPr>
      <w:rFonts w:ascii="Arial" w:hAnsi="Arial" w:cs="Arial"/>
      <w:b/>
      <w:sz w:val="16"/>
    </w:rPr>
  </w:style>
  <w:style w:type="paragraph" w:styleId="Ttulo3">
    <w:name w:val="heading 3"/>
    <w:basedOn w:val="Normal"/>
    <w:next w:val="Normal"/>
    <w:link w:val="Ttulo3Car"/>
    <w:qFormat/>
    <w:pPr>
      <w:keepNext/>
      <w:numPr>
        <w:ilvl w:val="2"/>
        <w:numId w:val="1"/>
      </w:numPr>
      <w:jc w:val="center"/>
      <w:outlineLvl w:val="2"/>
    </w:pPr>
    <w:rPr>
      <w:rFonts w:ascii="Arial" w:hAnsi="Arial" w:cs="Arial"/>
      <w:b/>
    </w:rPr>
  </w:style>
  <w:style w:type="paragraph" w:styleId="Ttulo4">
    <w:name w:val="heading 4"/>
    <w:basedOn w:val="Normal"/>
    <w:next w:val="Normal"/>
    <w:qFormat/>
    <w:pPr>
      <w:keepNext/>
      <w:numPr>
        <w:ilvl w:val="3"/>
        <w:numId w:val="1"/>
      </w:numPr>
      <w:outlineLvl w:val="3"/>
    </w:pPr>
    <w:rPr>
      <w:rFonts w:ascii="Arial" w:hAnsi="Arial" w:cs="Arial"/>
      <w:b/>
      <w:sz w:val="18"/>
    </w:rPr>
  </w:style>
  <w:style w:type="paragraph" w:styleId="Ttulo5">
    <w:name w:val="heading 5"/>
    <w:basedOn w:val="Normal"/>
    <w:next w:val="Normal"/>
    <w:qFormat/>
    <w:pPr>
      <w:keepNext/>
      <w:numPr>
        <w:ilvl w:val="4"/>
        <w:numId w:val="1"/>
      </w:numPr>
      <w:jc w:val="center"/>
      <w:outlineLvl w:val="4"/>
    </w:pPr>
    <w:rPr>
      <w:b/>
      <w:sz w:val="16"/>
    </w:rPr>
  </w:style>
  <w:style w:type="paragraph" w:styleId="Ttulo6">
    <w:name w:val="heading 6"/>
    <w:basedOn w:val="Normal"/>
    <w:next w:val="Normal"/>
    <w:qFormat/>
    <w:pPr>
      <w:keepNext/>
      <w:numPr>
        <w:ilvl w:val="5"/>
        <w:numId w:val="1"/>
      </w:numPr>
      <w:jc w:val="center"/>
      <w:outlineLvl w:val="5"/>
    </w:pPr>
    <w:rPr>
      <w:rFonts w:ascii="Arial" w:hAnsi="Arial" w:cs="Arial"/>
      <w:b/>
      <w:sz w:val="36"/>
    </w:rPr>
  </w:style>
  <w:style w:type="paragraph" w:styleId="Ttulo7">
    <w:name w:val="heading 7"/>
    <w:basedOn w:val="Normal"/>
    <w:next w:val="Normal"/>
    <w:qFormat/>
    <w:pPr>
      <w:keepNext/>
      <w:numPr>
        <w:ilvl w:val="6"/>
        <w:numId w:val="1"/>
      </w:numPr>
      <w:spacing w:before="40"/>
      <w:jc w:val="center"/>
      <w:outlineLvl w:val="6"/>
    </w:pPr>
    <w:rPr>
      <w:rFonts w:ascii="Arial" w:hAnsi="Arial" w:cs="Arial"/>
      <w:i/>
      <w:sz w:val="16"/>
    </w:rPr>
  </w:style>
  <w:style w:type="paragraph" w:styleId="Ttulo8">
    <w:name w:val="heading 8"/>
    <w:basedOn w:val="Normal"/>
    <w:next w:val="Normal"/>
    <w:link w:val="Ttulo8Car"/>
    <w:qFormat/>
    <w:pPr>
      <w:keepNext/>
      <w:numPr>
        <w:ilvl w:val="7"/>
        <w:numId w:val="1"/>
      </w:numPr>
      <w:spacing w:before="60"/>
      <w:jc w:val="right"/>
      <w:outlineLvl w:val="7"/>
    </w:pPr>
    <w:rPr>
      <w:rFonts w:ascii="Arial" w:hAnsi="Arial" w:cs="Arial"/>
      <w:b/>
      <w:sz w:val="18"/>
    </w:rPr>
  </w:style>
  <w:style w:type="paragraph" w:styleId="Ttulo9">
    <w:name w:val="heading 9"/>
    <w:basedOn w:val="Normal"/>
    <w:next w:val="Normal"/>
    <w:qFormat/>
    <w:pPr>
      <w:keepNext/>
      <w:numPr>
        <w:ilvl w:val="8"/>
        <w:numId w:val="1"/>
      </w:numPr>
      <w:spacing w:before="40"/>
      <w:jc w:val="center"/>
      <w:outlineLvl w:val="8"/>
    </w:pPr>
    <w:rPr>
      <w:rFonts w:ascii="Arial" w:hAnsi="Arial" w:cs="Arial"/>
      <w:i/>
      <w:i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cs="Arial" w:hint="default"/>
      <w:b w:val="0"/>
      <w:i w:val="0"/>
      <w:sz w:val="16"/>
    </w:rPr>
  </w:style>
  <w:style w:type="character" w:customStyle="1" w:styleId="WW8Num3z0">
    <w:name w:val="WW8Num3z0"/>
    <w:rPr>
      <w:rFonts w:ascii="Arial" w:hAnsi="Arial" w:cs="Arial" w:hint="default"/>
    </w:rPr>
  </w:style>
  <w:style w:type="character" w:customStyle="1" w:styleId="Fuentedeprrafopredeter3">
    <w:name w:val="Fuente de párrafo predeter.3"/>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Fuentedeprrafopredeter2">
    <w:name w:val="Fuente de párrafo predeter.2"/>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hint="default"/>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highlight">
    <w:name w:val="highlight"/>
  </w:style>
  <w:style w:type="character" w:customStyle="1" w:styleId="Refdecomentario1">
    <w:name w:val="Ref. de comentario1"/>
    <w:rPr>
      <w:sz w:val="16"/>
      <w:szCs w:val="16"/>
    </w:rPr>
  </w:style>
  <w:style w:type="character" w:customStyle="1" w:styleId="TextocomentarioCar">
    <w:name w:val="Texto comentario Car"/>
    <w:rPr>
      <w:lang w:val="es-ES_tradnl"/>
    </w:rPr>
  </w:style>
  <w:style w:type="character" w:customStyle="1" w:styleId="AsuntodelcomentarioCar">
    <w:name w:val="Asunto del comentario Car"/>
    <w:rPr>
      <w:b/>
      <w:bCs/>
      <w:lang w:val="es-ES_tradnl"/>
    </w:rPr>
  </w:style>
  <w:style w:type="character" w:customStyle="1" w:styleId="TextodegloboCar">
    <w:name w:val="Texto de globo Car"/>
    <w:rPr>
      <w:rFonts w:ascii="Segoe UI" w:hAnsi="Segoe UI" w:cs="Segoe UI"/>
      <w:sz w:val="18"/>
      <w:szCs w:val="18"/>
      <w:lang w:val="es-ES_tradnl"/>
    </w:rPr>
  </w:style>
  <w:style w:type="paragraph" w:customStyle="1" w:styleId="Ttulo30">
    <w:name w:val="Título3"/>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line="360" w:lineRule="auto"/>
      <w:ind w:right="-284"/>
      <w:jc w:val="both"/>
    </w:pPr>
    <w:rPr>
      <w:rFonts w:ascii="Arial" w:hAnsi="Arial" w:cs="Arial"/>
      <w:bCs/>
      <w:i/>
      <w:iCs/>
    </w:rPr>
  </w:style>
  <w:style w:type="paragraph" w:styleId="Lista">
    <w:name w:val="List"/>
    <w:basedOn w:val="Textoindependiente"/>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customStyle="1" w:styleId="Caption11">
    <w:name w:val="Caption11"/>
    <w:basedOn w:val="Normal"/>
    <w:pPr>
      <w:suppressLineNumbers/>
      <w:spacing w:before="120" w:after="120"/>
    </w:pPr>
    <w:rPr>
      <w:rFonts w:cs="Arial"/>
      <w:i/>
      <w:iCs/>
      <w:sz w:val="24"/>
      <w:szCs w:val="24"/>
    </w:rPr>
  </w:style>
  <w:style w:type="paragraph" w:customStyle="1" w:styleId="Caption111">
    <w:name w:val="Caption111"/>
    <w:basedOn w:val="Normal"/>
    <w:pPr>
      <w:suppressLineNumbers/>
      <w:spacing w:before="120" w:after="120"/>
    </w:pPr>
    <w:rPr>
      <w:rFonts w:cs="Arial"/>
      <w:i/>
      <w:iCs/>
      <w:sz w:val="24"/>
      <w:szCs w:val="24"/>
    </w:rPr>
  </w:style>
  <w:style w:type="paragraph" w:customStyle="1" w:styleId="Caption1111">
    <w:name w:val="Caption1111"/>
    <w:basedOn w:val="Normal"/>
    <w:pPr>
      <w:suppressLineNumbers/>
      <w:spacing w:before="120" w:after="120"/>
    </w:pPr>
    <w:rPr>
      <w:rFonts w:cs="Arial"/>
      <w:i/>
      <w:iCs/>
      <w:sz w:val="24"/>
      <w:szCs w:val="24"/>
    </w:rPr>
  </w:style>
  <w:style w:type="paragraph" w:customStyle="1" w:styleId="Caption11111">
    <w:name w:val="Caption11111"/>
    <w:basedOn w:val="Normal"/>
    <w:pPr>
      <w:suppressLineNumbers/>
      <w:spacing w:before="120" w:after="120"/>
    </w:pPr>
    <w:rPr>
      <w:rFonts w:cs="Arial"/>
      <w:i/>
      <w:iCs/>
      <w:sz w:val="24"/>
      <w:szCs w:val="24"/>
    </w:rPr>
  </w:style>
  <w:style w:type="paragraph" w:customStyle="1" w:styleId="Caption111111">
    <w:name w:val="Caption111111"/>
    <w:basedOn w:val="Normal"/>
    <w:pPr>
      <w:suppressLineNumbers/>
      <w:spacing w:before="120" w:after="120"/>
    </w:pPr>
    <w:rPr>
      <w:rFonts w:cs="Arial"/>
      <w:i/>
      <w:iCs/>
      <w:sz w:val="24"/>
      <w:szCs w:val="24"/>
    </w:rPr>
  </w:style>
  <w:style w:type="paragraph" w:customStyle="1" w:styleId="Caption1111111">
    <w:name w:val="Caption1111111"/>
    <w:basedOn w:val="Normal"/>
    <w:pPr>
      <w:suppressLineNumbers/>
      <w:spacing w:before="120" w:after="120"/>
    </w:pPr>
    <w:rPr>
      <w:rFonts w:cs="Arial"/>
      <w:i/>
      <w:iCs/>
      <w:sz w:val="24"/>
      <w:szCs w:val="24"/>
    </w:rPr>
  </w:style>
  <w:style w:type="paragraph" w:customStyle="1" w:styleId="Caption11111111">
    <w:name w:val="Caption11111111"/>
    <w:basedOn w:val="Normal"/>
    <w:pPr>
      <w:suppressLineNumbers/>
      <w:spacing w:before="120" w:after="120"/>
    </w:pPr>
    <w:rPr>
      <w:rFonts w:cs="Arial"/>
      <w:i/>
      <w:iCs/>
      <w:sz w:val="24"/>
      <w:szCs w:val="24"/>
    </w:rPr>
  </w:style>
  <w:style w:type="paragraph" w:customStyle="1" w:styleId="Caption111111111">
    <w:name w:val="Caption111111111"/>
    <w:basedOn w:val="Normal"/>
    <w:pPr>
      <w:suppressLineNumbers/>
      <w:spacing w:before="120" w:after="120"/>
    </w:pPr>
    <w:rPr>
      <w:rFonts w:cs="Arial"/>
      <w:i/>
      <w:iCs/>
      <w:sz w:val="24"/>
      <w:szCs w:val="24"/>
    </w:rPr>
  </w:style>
  <w:style w:type="paragraph" w:customStyle="1" w:styleId="Caption1111111111">
    <w:name w:val="Caption1111111111"/>
    <w:basedOn w:val="Normal"/>
    <w:pPr>
      <w:suppressLineNumbers/>
      <w:spacing w:before="120" w:after="120"/>
    </w:pPr>
    <w:rPr>
      <w:rFonts w:cs="Arial"/>
      <w:i/>
      <w:iCs/>
      <w:sz w:val="24"/>
      <w:szCs w:val="24"/>
    </w:rPr>
  </w:style>
  <w:style w:type="paragraph" w:customStyle="1" w:styleId="Caption11111111111">
    <w:name w:val="Caption11111111111"/>
    <w:basedOn w:val="Normal"/>
    <w:pPr>
      <w:suppressLineNumbers/>
      <w:spacing w:before="120" w:after="120"/>
    </w:pPr>
    <w:rPr>
      <w:rFonts w:cs="Arial"/>
      <w:i/>
      <w:iCs/>
      <w:sz w:val="24"/>
      <w:szCs w:val="24"/>
    </w:rPr>
  </w:style>
  <w:style w:type="paragraph" w:customStyle="1" w:styleId="Caption111111111111">
    <w:name w:val="Caption111111111111"/>
    <w:basedOn w:val="Normal"/>
    <w:pPr>
      <w:suppressLineNumbers/>
      <w:spacing w:before="120" w:after="120"/>
    </w:pPr>
    <w:rPr>
      <w:rFonts w:cs="Arial"/>
      <w:i/>
      <w:iCs/>
      <w:sz w:val="24"/>
      <w:szCs w:val="24"/>
    </w:rPr>
  </w:style>
  <w:style w:type="paragraph" w:customStyle="1" w:styleId="Caption1111111111111">
    <w:name w:val="Caption1111111111111"/>
    <w:basedOn w:val="Normal"/>
    <w:pPr>
      <w:suppressLineNumbers/>
      <w:spacing w:before="120" w:after="120"/>
    </w:pPr>
    <w:rPr>
      <w:rFonts w:cs="Arial"/>
      <w:i/>
      <w:iCs/>
      <w:sz w:val="24"/>
      <w:szCs w:val="24"/>
    </w:rPr>
  </w:style>
  <w:style w:type="paragraph" w:customStyle="1" w:styleId="Ttulo20">
    <w:name w:val="Título2"/>
    <w:basedOn w:val="Normal"/>
    <w:next w:val="Textoindependiente"/>
    <w:pPr>
      <w:keepNext/>
      <w:spacing w:before="240" w:after="120"/>
    </w:pPr>
    <w:rPr>
      <w:rFonts w:ascii="Liberation Sans" w:eastAsia="Microsoft YaHei" w:hAnsi="Liberation Sans" w:cs="Arial"/>
      <w:sz w:val="28"/>
      <w:szCs w:val="28"/>
    </w:rPr>
  </w:style>
  <w:style w:type="paragraph" w:customStyle="1" w:styleId="Descripcin3">
    <w:name w:val="Descripción3"/>
    <w:basedOn w:val="Normal"/>
    <w:pPr>
      <w:suppressLineNumbers/>
      <w:spacing w:before="120" w:after="120"/>
    </w:pPr>
    <w:rPr>
      <w:rFonts w:cs="Arial"/>
      <w:i/>
      <w:iCs/>
      <w:sz w:val="24"/>
      <w:szCs w:val="24"/>
    </w:rPr>
  </w:style>
  <w:style w:type="paragraph" w:customStyle="1" w:styleId="Caption11111111111111">
    <w:name w:val="Caption11111111111111"/>
    <w:basedOn w:val="Normal"/>
    <w:pPr>
      <w:suppressLineNumbers/>
      <w:spacing w:before="120" w:after="120"/>
    </w:pPr>
    <w:rPr>
      <w:rFonts w:cs="Arial"/>
      <w:i/>
      <w:iCs/>
      <w:sz w:val="24"/>
      <w:szCs w:val="24"/>
    </w:rPr>
  </w:style>
  <w:style w:type="paragraph" w:customStyle="1" w:styleId="Caption111111111111111">
    <w:name w:val="Caption111111111111111"/>
    <w:basedOn w:val="Normal"/>
    <w:pPr>
      <w:suppressLineNumbers/>
      <w:spacing w:before="120" w:after="120"/>
    </w:pPr>
    <w:rPr>
      <w:rFonts w:cs="Arial"/>
      <w:i/>
      <w:iCs/>
      <w:sz w:val="24"/>
      <w:szCs w:val="24"/>
    </w:rPr>
  </w:style>
  <w:style w:type="paragraph" w:customStyle="1" w:styleId="Caption1111111111111111">
    <w:name w:val="Caption1111111111111111"/>
    <w:basedOn w:val="Normal"/>
    <w:pPr>
      <w:suppressLineNumbers/>
      <w:spacing w:before="120" w:after="120"/>
    </w:pPr>
    <w:rPr>
      <w:rFonts w:cs="Arial"/>
      <w:i/>
      <w:iCs/>
      <w:sz w:val="24"/>
      <w:szCs w:val="24"/>
    </w:rPr>
  </w:style>
  <w:style w:type="paragraph" w:customStyle="1" w:styleId="Ttulo10">
    <w:name w:val="Título1"/>
    <w:basedOn w:val="Normal"/>
    <w:next w:val="Textoindependiente"/>
    <w:pPr>
      <w:ind w:right="-567"/>
      <w:jc w:val="center"/>
    </w:pPr>
    <w:rPr>
      <w:b/>
    </w:rPr>
  </w:style>
  <w:style w:type="paragraph" w:customStyle="1" w:styleId="Descripcin2">
    <w:name w:val="Descripción2"/>
    <w:basedOn w:val="Normal"/>
    <w:pPr>
      <w:suppressLineNumbers/>
      <w:spacing w:before="120" w:after="120"/>
    </w:pPr>
    <w:rPr>
      <w:rFonts w:cs="Arial"/>
      <w:i/>
      <w:iCs/>
      <w:sz w:val="24"/>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Descripcin1">
    <w:name w:val="Descripción1"/>
    <w:basedOn w:val="Normal"/>
    <w:next w:val="Normal"/>
    <w:pPr>
      <w:spacing w:before="120" w:after="120"/>
    </w:pPr>
    <w:rPr>
      <w:rFonts w:ascii="Arial" w:hAnsi="Arial" w:cs="Arial"/>
      <w:b/>
    </w:rPr>
  </w:style>
  <w:style w:type="paragraph" w:styleId="Sangradetextonormal">
    <w:name w:val="Body Text Indent"/>
    <w:basedOn w:val="Normal"/>
    <w:pPr>
      <w:ind w:left="284"/>
    </w:pPr>
    <w:rPr>
      <w:rFonts w:ascii="Arial" w:hAnsi="Arial" w:cs="Arial"/>
      <w:sz w:val="14"/>
    </w:rPr>
  </w:style>
  <w:style w:type="paragraph" w:customStyle="1" w:styleId="Textodebloque1">
    <w:name w:val="Texto de bloque1"/>
    <w:basedOn w:val="Normal"/>
    <w:pPr>
      <w:spacing w:before="360" w:after="120" w:line="360" w:lineRule="auto"/>
      <w:ind w:left="-142" w:right="-284" w:firstLine="284"/>
      <w:jc w:val="both"/>
    </w:pPr>
    <w:rPr>
      <w:rFonts w:ascii="Arial" w:hAnsi="Arial" w:cs="Arial"/>
    </w:rPr>
  </w:style>
  <w:style w:type="paragraph" w:customStyle="1" w:styleId="Textocomentario1">
    <w:name w:val="Texto comentario1"/>
    <w:basedOn w:val="Normal"/>
  </w:style>
  <w:style w:type="paragraph" w:styleId="Asuntodelcomentario">
    <w:name w:val="annotation subject"/>
    <w:basedOn w:val="Textocomentario1"/>
    <w:next w:val="Textocomentario1"/>
    <w:rPr>
      <w:b/>
      <w:bCs/>
    </w:rPr>
  </w:style>
  <w:style w:type="paragraph" w:styleId="Revisin">
    <w:name w:val="Revision"/>
    <w:pPr>
      <w:suppressAutoHyphens/>
    </w:pPr>
    <w:rPr>
      <w:lang w:val="es-ES_tradnl" w:eastAsia="zh-CN"/>
    </w:r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Ttulo8Car">
    <w:name w:val="Título 8 Car"/>
    <w:link w:val="Ttulo8"/>
    <w:rsid w:val="00CB71D6"/>
    <w:rPr>
      <w:rFonts w:ascii="Arial" w:hAnsi="Arial" w:cs="Arial"/>
      <w:b/>
      <w:sz w:val="18"/>
      <w:lang w:val="es-ES_tradnl" w:eastAsia="zh-CN"/>
    </w:rPr>
  </w:style>
  <w:style w:type="character" w:customStyle="1" w:styleId="Ttulo3Car">
    <w:name w:val="Título 3 Car"/>
    <w:link w:val="Ttulo3"/>
    <w:rsid w:val="00CB71D6"/>
    <w:rPr>
      <w:rFonts w:ascii="Arial" w:hAnsi="Arial" w:cs="Arial"/>
      <w:b/>
      <w:lang w:val="es-ES_tradnl" w:eastAsia="zh-CN"/>
    </w:rPr>
  </w:style>
  <w:style w:type="paragraph" w:styleId="Prrafodelista">
    <w:name w:val="List Paragraph"/>
    <w:basedOn w:val="Normal"/>
    <w:uiPriority w:val="34"/>
    <w:qFormat/>
    <w:rsid w:val="00DC7DDC"/>
    <w:pPr>
      <w:widowControl/>
      <w:spacing w:after="60"/>
      <w:ind w:left="720"/>
      <w:contextualSpacing/>
      <w:jc w:val="both"/>
    </w:pPr>
    <w:rPr>
      <w:rFonts w:ascii="Arial" w:eastAsiaTheme="minorHAnsi"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Formulario comunicacion sobre Instalaciones de Protección Contra Incendios</vt:lpstr>
    </vt:vector>
  </TitlesOfParts>
  <Manager>Dirección General de Promoción Industrial e Innovación</Manager>
  <Company>Gobierno de Aragón</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Tabla 2. Inspecciones periódicas de PCI</dc:title>
  <dc:subject>Periodicidad de inspecciones según el uso</dc:subject>
  <dc:creator>Servicio de Metrología, Seguridad y Calidad Industrial</dc:creator>
  <cp:keywords/>
  <cp:lastModifiedBy>Administrador</cp:lastModifiedBy>
  <cp:revision>3</cp:revision>
  <cp:lastPrinted>2025-10-27T09:14:00Z</cp:lastPrinted>
  <dcterms:created xsi:type="dcterms:W3CDTF">2025-11-25T08:28:00Z</dcterms:created>
  <dcterms:modified xsi:type="dcterms:W3CDTF">2025-11-25T08:29:00Z</dcterms:modified>
</cp:coreProperties>
</file>